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3A2560" w:rsidRPr="00630688" w:rsidRDefault="003A2560" w:rsidP="001B49B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1B49BA" w:rsidRPr="00630688" w:rsidRDefault="001B49BA" w:rsidP="001B49B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bg-BG"/>
        </w:rPr>
      </w:pPr>
    </w:p>
    <w:p w:rsidR="001B49BA" w:rsidRPr="00630688" w:rsidRDefault="001B49BA" w:rsidP="001B49BA">
      <w:pPr>
        <w:spacing w:after="0" w:line="240" w:lineRule="auto"/>
        <w:rPr>
          <w:rFonts w:ascii="Arial Narrow" w:eastAsia="Times New Roman" w:hAnsi="Arial Narrow" w:cs="Arial"/>
          <w:b/>
          <w:i/>
          <w:lang w:eastAsia="bg-BG"/>
        </w:rPr>
      </w:pPr>
    </w:p>
    <w:p w:rsidR="001B49BA" w:rsidRPr="00630688" w:rsidRDefault="001B49BA" w:rsidP="001B49BA">
      <w:pPr>
        <w:spacing w:after="0" w:line="240" w:lineRule="auto"/>
      </w:pPr>
      <w:r w:rsidRPr="00630688">
        <w:rPr>
          <w:rFonts w:ascii="Times New Roman" w:eastAsia="Times New Roman" w:hAnsi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7DF8961A" wp14:editId="44A3721C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" name="Картина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630688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4D5D7004" wp14:editId="149F2D1C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1"/>
            <wp:effectExtent l="0" t="0" r="0" b="0"/>
            <wp:wrapSquare wrapText="bothSides"/>
            <wp:docPr id="2" name="Картина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70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630688"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254FA" wp14:editId="3DD2D170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2" cy="0"/>
                <wp:effectExtent l="0" t="19050" r="15878" b="38100"/>
                <wp:wrapNone/>
                <wp:docPr id="3" name="Право съедин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2272" cy="0"/>
                        </a:xfrm>
                        <a:prstGeom prst="straightConnector1">
                          <a:avLst/>
                        </a:prstGeom>
                        <a:noFill/>
                        <a:ln w="5080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аво съединение 7" o:spid="_x0000_s1026" type="#_x0000_t32" style="position:absolute;margin-left:2.25pt;margin-top:-9pt;width:333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" strokeweight="1.41122mm"/>
            </w:pict>
          </mc:Fallback>
        </mc:AlternateContent>
      </w:r>
      <w:r w:rsidR="00E41BB6">
        <w:rPr>
          <w:rFonts w:ascii="Arial Narrow" w:eastAsia="Times New Roman" w:hAnsi="Arial Narrow" w:cs="Arial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2" o:spid="_x0000_s1026" type="#_x0000_t136" style="position:absolute;margin-left:29.25pt;margin-top:-36pt;width:282.75pt;height:18pt;z-index:251659264;visibility:visible;mso-wrap-style:none;mso-position-horizontal-relative:text;mso-position-vertical-relative:text;v-text-anchor:top-center" fillcolor="black" stroked="f">
            <v:shadow on="t" color="silver" origin="-.5,-.5" offset="1.0584mm,.70561mm"/>
            <v:textpath style="font-family:&quot;Times New Roman&quot;;font-size:18pt;font-weight:bold;v-text-align:left" trim="t" string="Община Добричка, град Добрич "/>
          </v:shape>
        </w:pict>
      </w:r>
      <w:r w:rsidRPr="00630688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058/60889факс:058/600806;</w:t>
      </w:r>
    </w:p>
    <w:p w:rsidR="001B49BA" w:rsidRPr="00630688" w:rsidRDefault="001B49BA" w:rsidP="001B49BA">
      <w:pPr>
        <w:spacing w:after="0" w:line="240" w:lineRule="auto"/>
        <w:jc w:val="center"/>
      </w:pPr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630688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630688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630688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630688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9" w:history="1">
        <w:r w:rsidRPr="00630688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Pr="003A2560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B7BA9" w:rsidRPr="00DB7BA9" w:rsidRDefault="00DB7BA9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1B49BA" w:rsidRDefault="001B49BA" w:rsidP="001B49BA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1B49BA" w:rsidRDefault="001B49BA" w:rsidP="001B49BA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ГРАД ДОБРИЧ</w:t>
      </w:r>
    </w:p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A2560" w:rsidRDefault="003A2560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</w:t>
      </w: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 СОНЯ ИВАНОВА ГЕОРГИЕВА</w:t>
      </w: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община Добричка, град Добрич</w:t>
      </w: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2560" w:rsidRDefault="003A2560" w:rsidP="001B49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B49BA" w:rsidRPr="00C17EB4" w:rsidRDefault="001B49BA" w:rsidP="001B49BA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</w:t>
      </w:r>
      <w:r w:rsidRPr="00C17EB4">
        <w:rPr>
          <w:rFonts w:ascii="Times New Roman" w:eastAsia="Times New Roman" w:hAnsi="Times New Roman"/>
          <w:b/>
          <w:lang w:eastAsia="bg-BG"/>
        </w:rPr>
        <w:t xml:space="preserve">: 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Актуализация на програмата за управление и разпореждане с имотите - общинска собственост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 xml:space="preserve"> 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и продажба на УПИ </w:t>
      </w:r>
      <w:r w:rsidR="00AF69D6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>XVII</w:t>
      </w:r>
      <w:r w:rsidR="00AF69D6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-</w:t>
      </w:r>
      <w:r w:rsidR="00AF69D6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общински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, кв.</w:t>
      </w:r>
      <w:r w:rsidR="00284B5B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</w:t>
      </w:r>
      <w:r w:rsidR="00AF69D6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69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на собственика на законно построена </w:t>
      </w:r>
      <w:proofErr w:type="spellStart"/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сград</w:t>
      </w:r>
      <w:proofErr w:type="spellEnd"/>
      <w:r w:rsidRPr="00C17EB4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 xml:space="preserve">a 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в с.</w:t>
      </w:r>
      <w:r w:rsidR="00AF69D6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Полковник Минково, община Добричка.</w:t>
      </w:r>
    </w:p>
    <w:p w:rsidR="001B49BA" w:rsidRDefault="001B49BA" w:rsidP="001B49B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3A2560" w:rsidRDefault="003A2560" w:rsidP="001B49B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1B49BA" w:rsidRDefault="001B49BA" w:rsidP="001B49BA">
      <w:pPr>
        <w:spacing w:after="0" w:line="240" w:lineRule="auto"/>
        <w:ind w:firstLine="708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 ДАМИ И ГОСПОДА, ОБЩИНСКИ СЪВЕТНИЦИ,</w:t>
      </w: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AB1435" w:rsidRDefault="001B49BA" w:rsidP="00C83B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община Добричка постъпи заявление с рег.</w:t>
      </w:r>
      <w:r w:rsid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 ОС-101/01.04.2025г. от Иво Маринов </w:t>
      </w:r>
      <w:proofErr w:type="spellStart"/>
      <w:r w:rsidR="00AF69D6">
        <w:rPr>
          <w:rFonts w:ascii="Times New Roman" w:eastAsia="Times New Roman" w:hAnsi="Times New Roman"/>
          <w:sz w:val="24"/>
          <w:szCs w:val="24"/>
          <w:lang w:eastAsia="bg-BG"/>
        </w:rPr>
        <w:t>Маринов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закупуване </w:t>
      </w:r>
      <w:r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AF69D6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="00AF69D6" w:rsidRPr="00AF69D6">
        <w:rPr>
          <w:rFonts w:ascii="Times New Roman" w:eastAsia="Times New Roman" w:hAnsi="Times New Roman"/>
          <w:sz w:val="24"/>
          <w:szCs w:val="24"/>
          <w:lang w:val="en-US" w:eastAsia="bg-BG"/>
        </w:rPr>
        <w:t>XVII</w:t>
      </w:r>
      <w:r w:rsidR="00AF69D6" w:rsidRPr="00AF69D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AF69D6">
        <w:rPr>
          <w:rFonts w:ascii="Times New Roman" w:eastAsia="Times New Roman" w:hAnsi="Times New Roman"/>
          <w:sz w:val="24"/>
          <w:szCs w:val="24"/>
          <w:lang w:eastAsia="bg-BG"/>
        </w:rPr>
        <w:t>общ.</w:t>
      </w:r>
      <w:r w:rsidR="00AF69D6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AF69D6" w:rsidRPr="00AF69D6">
        <w:rPr>
          <w:rFonts w:ascii="Times New Roman" w:eastAsia="Times New Roman" w:hAnsi="Times New Roman"/>
          <w:sz w:val="24"/>
          <w:szCs w:val="24"/>
          <w:lang w:eastAsia="bg-BG"/>
        </w:rPr>
        <w:t>кв.</w:t>
      </w:r>
      <w:r w:rsidR="00284B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F69D6" w:rsidRPr="00AF69D6">
        <w:rPr>
          <w:rFonts w:ascii="Times New Roman" w:eastAsia="Times New Roman" w:hAnsi="Times New Roman"/>
          <w:sz w:val="24"/>
          <w:szCs w:val="24"/>
          <w:lang w:eastAsia="bg-BG"/>
        </w:rPr>
        <w:t>69</w:t>
      </w:r>
      <w:r w:rsid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9D6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 площ 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00 кв.м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 плана на с</w:t>
      </w:r>
      <w:r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AF69D6" w:rsidRPr="00AF69D6">
        <w:rPr>
          <w:rFonts w:ascii="Times New Roman" w:eastAsia="Times New Roman" w:hAnsi="Times New Roman"/>
          <w:sz w:val="24"/>
          <w:szCs w:val="24"/>
          <w:lang w:eastAsia="bg-BG"/>
        </w:rPr>
        <w:t>Полковник Минково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община Добрич</w:t>
      </w:r>
      <w:r w:rsidR="00CF5965">
        <w:rPr>
          <w:rFonts w:ascii="Times New Roman" w:eastAsia="Times New Roman" w:hAnsi="Times New Roman"/>
          <w:sz w:val="24"/>
          <w:szCs w:val="24"/>
          <w:lang w:eastAsia="bg-BG"/>
        </w:rPr>
        <w:t>ка. Заявителят е</w:t>
      </w:r>
      <w:r w:rsidR="000A0C63">
        <w:rPr>
          <w:rFonts w:ascii="Times New Roman" w:eastAsia="Times New Roman" w:hAnsi="Times New Roman"/>
          <w:sz w:val="24"/>
          <w:szCs w:val="24"/>
          <w:lang w:eastAsia="bg-BG"/>
        </w:rPr>
        <w:t xml:space="preserve"> собственик съгласно договор за </w:t>
      </w:r>
      <w:r w:rsidR="00C83B9A">
        <w:rPr>
          <w:rFonts w:ascii="Times New Roman" w:eastAsia="Times New Roman" w:hAnsi="Times New Roman"/>
          <w:sz w:val="24"/>
          <w:szCs w:val="24"/>
          <w:lang w:eastAsia="bg-BG"/>
        </w:rPr>
        <w:t>отстъпено право на строеж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84B5B">
        <w:rPr>
          <w:rFonts w:ascii="Times New Roman" w:eastAsia="Times New Roman" w:hAnsi="Times New Roman"/>
          <w:sz w:val="24"/>
          <w:szCs w:val="24"/>
          <w:lang w:eastAsia="bg-BG"/>
        </w:rPr>
        <w:t xml:space="preserve">от 04.09.1995г. в изпълнение на Заповед № 335/18.07.1995г.,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двуетажна жилищна </w:t>
      </w:r>
      <w:r w:rsidR="00F11401">
        <w:rPr>
          <w:rFonts w:ascii="Times New Roman" w:eastAsia="Times New Roman" w:hAnsi="Times New Roman"/>
          <w:sz w:val="24"/>
          <w:szCs w:val="24"/>
          <w:lang w:eastAsia="bg-BG"/>
        </w:rPr>
        <w:t>сграда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с разрешително за строеж № 23 от 21.03.1996г. и стопанска постройка</w:t>
      </w:r>
      <w:r w:rsidR="00F1140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с разрешително за строеж № 132 от 12.10.1999г. върху общински урегулиран поземлен имот.</w:t>
      </w:r>
    </w:p>
    <w:p w:rsidR="001B49BA" w:rsidRDefault="001B49BA" w:rsidP="001B49B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AB1435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="00AB1435" w:rsidRPr="00AF69D6">
        <w:rPr>
          <w:rFonts w:ascii="Times New Roman" w:eastAsia="Times New Roman" w:hAnsi="Times New Roman"/>
          <w:sz w:val="24"/>
          <w:szCs w:val="24"/>
          <w:lang w:val="en-US" w:eastAsia="bg-BG"/>
        </w:rPr>
        <w:t>XVII</w:t>
      </w:r>
      <w:r w:rsidR="00AB1435" w:rsidRPr="00AF69D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общ.</w:t>
      </w:r>
      <w:r w:rsidR="00AB1435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AB1435" w:rsidRPr="00AF69D6">
        <w:rPr>
          <w:rFonts w:ascii="Times New Roman" w:eastAsia="Times New Roman" w:hAnsi="Times New Roman"/>
          <w:sz w:val="24"/>
          <w:szCs w:val="24"/>
          <w:lang w:eastAsia="bg-BG"/>
        </w:rPr>
        <w:t>кв.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B1435" w:rsidRPr="00AF69D6">
        <w:rPr>
          <w:rFonts w:ascii="Times New Roman" w:eastAsia="Times New Roman" w:hAnsi="Times New Roman"/>
          <w:sz w:val="24"/>
          <w:szCs w:val="24"/>
          <w:lang w:eastAsia="bg-BG"/>
        </w:rPr>
        <w:t>69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B1435" w:rsidRPr="00AF69D6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площ 1100 кв.м. по плана на с</w:t>
      </w:r>
      <w:r w:rsidR="00AB1435" w:rsidRPr="00AF69D6">
        <w:rPr>
          <w:rFonts w:ascii="Times New Roman" w:eastAsia="Times New Roman" w:hAnsi="Times New Roman"/>
          <w:sz w:val="24"/>
          <w:szCs w:val="24"/>
          <w:lang w:eastAsia="bg-BG"/>
        </w:rPr>
        <w:t>. Полковник Минково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общ. Добричка </w:t>
      </w:r>
      <w:r w:rsidR="00CF0205">
        <w:rPr>
          <w:rFonts w:ascii="Times New Roman" w:eastAsia="Times New Roman" w:hAnsi="Times New Roman"/>
          <w:sz w:val="24"/>
          <w:szCs w:val="24"/>
          <w:lang w:eastAsia="bg-BG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съставен акт за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частна общинска собственост № 9189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F11401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4.2025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г., вписан в Агенция по вписванията – гр. Добрич под № 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177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том </w:t>
      </w:r>
      <w:r w:rsidR="00AB1435" w:rsidRPr="00AF69D6">
        <w:rPr>
          <w:rFonts w:ascii="Times New Roman" w:eastAsia="Times New Roman" w:hAnsi="Times New Roman"/>
          <w:sz w:val="24"/>
          <w:szCs w:val="24"/>
          <w:lang w:val="en-US" w:eastAsia="bg-BG"/>
        </w:rPr>
        <w:t>VII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вх.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рег.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3224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AB1435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</w:p>
    <w:p w:rsidR="001B49BA" w:rsidRDefault="001B49BA" w:rsidP="001B49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>зготвенa</w:t>
      </w:r>
      <w:proofErr w:type="spellEnd"/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 </w:t>
      </w:r>
      <w:proofErr w:type="spellStart"/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>пазарнa</w:t>
      </w:r>
      <w:proofErr w:type="spellEnd"/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>оценкa</w:t>
      </w:r>
      <w:proofErr w:type="spellEnd"/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по реда на чл.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>41, ал.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2 от ЗОС в размер на 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>6959</w:t>
      </w:r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лв.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AB1435">
        <w:rPr>
          <w:rFonts w:ascii="Times New Roman" w:eastAsia="Times New Roman" w:hAnsi="Times New Roman"/>
          <w:sz w:val="24"/>
          <w:szCs w:val="24"/>
          <w:lang w:eastAsia="bg-BG"/>
        </w:rPr>
        <w:t xml:space="preserve">шест хиляди деветстотин петдесет и девет </w:t>
      </w:r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>лева/ без ДДС, надхвърляща по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 xml:space="preserve"> размера си данъчната оценка в размер на 2633,40</w:t>
      </w:r>
      <w:r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лв.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 xml:space="preserve"> /две хиляди шестстотин тридесет и три лева и 40ст./</w:t>
      </w:r>
    </w:p>
    <w:p w:rsidR="001B49BA" w:rsidRDefault="001B49BA" w:rsidP="001B49B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Съгласно чл.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ал.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 от Наредба №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4, кмет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>а на село Полк. Минково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изразява положително 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становище – </w:t>
      </w:r>
      <w:r w:rsidR="00EE7E3F">
        <w:rPr>
          <w:rFonts w:ascii="Times New Roman" w:eastAsia="Times New Roman" w:hAnsi="Times New Roman"/>
          <w:sz w:val="24"/>
          <w:szCs w:val="24"/>
          <w:lang w:eastAsia="bg-BG"/>
        </w:rPr>
        <w:t>рег.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E7E3F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proofErr w:type="spellStart"/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>Вхк</w:t>
      </w:r>
      <w:proofErr w:type="spellEnd"/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 xml:space="preserve"> - 2345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/0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</w:p>
    <w:p w:rsidR="001B49BA" w:rsidRDefault="001B49BA" w:rsidP="001B49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Имотът не е предвиден за продажба в Програмата за управление и разпореждане с имотит</w:t>
      </w:r>
      <w:r w:rsidR="003A2560">
        <w:rPr>
          <w:rFonts w:ascii="Times New Roman" w:eastAsia="Times New Roman" w:hAnsi="Times New Roman"/>
          <w:sz w:val="24"/>
          <w:szCs w:val="24"/>
          <w:lang w:eastAsia="bg-BG"/>
        </w:rPr>
        <w:t>е - общинска собственост за 2025г., приета с решение № 283/29.01.2025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="00CF5965"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Добрички общински съвет.</w:t>
      </w:r>
    </w:p>
    <w:p w:rsidR="001B49BA" w:rsidRDefault="001B49BA" w:rsidP="001B49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Предвид гореизложеното, предлагам Добрички общински съвет да приеме следното:</w:t>
      </w:r>
    </w:p>
    <w:p w:rsidR="001B49BA" w:rsidRDefault="001B49BA" w:rsidP="001B49BA">
      <w:pPr>
        <w:spacing w:after="0" w:line="240" w:lineRule="auto"/>
        <w:ind w:left="778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A2560" w:rsidRDefault="003A2560" w:rsidP="001B49BA">
      <w:pPr>
        <w:spacing w:after="0" w:line="240" w:lineRule="auto"/>
        <w:ind w:left="778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ind w:left="778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ПРОЕКТ !</w:t>
      </w:r>
    </w:p>
    <w:p w:rsidR="003A2560" w:rsidRDefault="003A2560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A2560" w:rsidRDefault="003A2560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A2560" w:rsidRDefault="003A2560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C2651" w:rsidRDefault="005C2651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C2651" w:rsidRDefault="005C2651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C2651" w:rsidRDefault="005C2651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 :</w:t>
      </w:r>
    </w:p>
    <w:p w:rsidR="00DB7BA9" w:rsidRDefault="00DB7BA9" w:rsidP="001B49B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EE7E3F">
        <w:rPr>
          <w:rFonts w:ascii="Times New Roman" w:eastAsia="Times New Roman" w:hAnsi="Times New Roman"/>
          <w:sz w:val="24"/>
          <w:szCs w:val="24"/>
          <w:lang w:eastAsia="bg-BG"/>
        </w:rPr>
        <w:t>І.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21, ал.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1, т.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8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Закон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местното самоуправление и местната администрация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чл.8, ал.9 от Закона за общинската собственост  и чл.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5, ал.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 от Наредба №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 за реда за придобиване, управление и разпореждане с общинското имущество, Добрички общински съвет дава съгласие за актуализация на Програмата за управление и разпореждане с общинската собственост приета с Решение № 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283/29.01.2025г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CF5965"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Добрички общински съвет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както следва: </w:t>
      </w: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1. В Приложение 2.3, се допълва следния имот:</w:t>
      </w:r>
    </w:p>
    <w:p w:rsidR="00182DF8" w:rsidRDefault="001B49BA" w:rsidP="00182D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-</w:t>
      </w:r>
      <w:r w:rsidR="005C2651" w:rsidRP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="005C2651" w:rsidRPr="00AF69D6">
        <w:rPr>
          <w:rFonts w:ascii="Times New Roman" w:eastAsia="Times New Roman" w:hAnsi="Times New Roman"/>
          <w:sz w:val="24"/>
          <w:szCs w:val="24"/>
          <w:lang w:val="en-US" w:eastAsia="bg-BG"/>
        </w:rPr>
        <w:t>XVII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общ.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кв.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69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площ 1100 кв.м. по плана на с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. Полковник Минково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, общ. Добричка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очаквани приходи в размер на 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6959</w:t>
      </w:r>
      <w:r w:rsidR="005C2651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лв.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C2651" w:rsidRPr="00EA2CE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шест хиляди деветстотин петдесет и девет </w:t>
      </w:r>
      <w:r w:rsidR="005C2651" w:rsidRPr="00EA2CEB">
        <w:rPr>
          <w:rFonts w:ascii="Times New Roman" w:eastAsia="Times New Roman" w:hAnsi="Times New Roman"/>
          <w:sz w:val="24"/>
          <w:szCs w:val="24"/>
          <w:lang w:eastAsia="bg-BG"/>
        </w:rPr>
        <w:t>лева/</w:t>
      </w:r>
      <w:r w:rsidR="0085569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55696" w:rsidRDefault="00855696" w:rsidP="00855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55696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55696">
        <w:rPr>
          <w:rFonts w:ascii="Times New Roman" w:eastAsia="Times New Roman" w:hAnsi="Times New Roman"/>
          <w:sz w:val="24"/>
          <w:szCs w:val="24"/>
          <w:lang w:eastAsia="bg-BG"/>
        </w:rPr>
        <w:t>8, ал.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55696">
        <w:rPr>
          <w:rFonts w:ascii="Times New Roman" w:eastAsia="Times New Roman" w:hAnsi="Times New Roman"/>
          <w:sz w:val="24"/>
          <w:szCs w:val="24"/>
          <w:lang w:eastAsia="bg-BG"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1B49BA" w:rsidRDefault="001B49BA" w:rsidP="0018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 w:rsidRPr="00EE7E3F">
        <w:rPr>
          <w:rFonts w:ascii="Times New Roman" w:eastAsia="Times New Roman" w:hAnsi="Times New Roman"/>
          <w:sz w:val="24"/>
          <w:szCs w:val="24"/>
          <w:lang w:eastAsia="bg-BG"/>
        </w:rPr>
        <w:t xml:space="preserve"> ІІ.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 основание, чл.</w:t>
      </w:r>
      <w:r w:rsidR="005C26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21, ал.</w:t>
      </w:r>
      <w:r w:rsidR="005C26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1, т.</w:t>
      </w:r>
      <w:r w:rsidR="005C26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8 от Закон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местното самоуправление и местната администрация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чл.</w:t>
      </w:r>
      <w:r w:rsidR="005C26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41, ал.</w:t>
      </w:r>
      <w:r w:rsidR="005C26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  и  чл.</w:t>
      </w:r>
      <w:r w:rsidR="005C26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35, ал.</w:t>
      </w:r>
      <w:r w:rsidR="005C26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от Закона за общинската собственост и  чл. 56, ал. 1 от Наредба №</w:t>
      </w:r>
      <w:r w:rsidR="005C26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реда за придобиване, управление и разпореждане с общинско имущество,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Добрички общински съвет дава съгласие да се извърши продажба без провеждане на търг или конкурс на застроен урегулиран поземлен имот с площ 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1100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кв.м. </w:t>
      </w:r>
      <w:r w:rsidR="004377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CF0205">
        <w:rPr>
          <w:rFonts w:ascii="Times New Roman" w:eastAsia="Times New Roman" w:hAnsi="Times New Roman"/>
          <w:sz w:val="24"/>
          <w:szCs w:val="24"/>
          <w:lang w:eastAsia="bg-BG"/>
        </w:rPr>
        <w:t>урегулиран поземлен имот</w:t>
      </w:r>
      <w:r w:rsidR="004377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5C2651" w:rsidRPr="00AF69D6">
        <w:rPr>
          <w:rFonts w:ascii="Times New Roman" w:eastAsia="Times New Roman" w:hAnsi="Times New Roman"/>
          <w:sz w:val="24"/>
          <w:szCs w:val="24"/>
          <w:lang w:val="en-US" w:eastAsia="bg-BG"/>
        </w:rPr>
        <w:t>XVII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общ.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кв.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69</w:t>
      </w:r>
      <w:r w:rsidR="00DB7B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 плана на 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. 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Полковник Минково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община Добричка, на 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Иво Маринов </w:t>
      </w:r>
      <w:proofErr w:type="spellStart"/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Маринов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собственик на 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двуетажна жилищна сграда и стопанска постройка построени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имота и определя пазарна цена в  размер  на </w:t>
      </w:r>
      <w:r w:rsidR="00182D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6959</w:t>
      </w:r>
      <w:r w:rsidR="005C2651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лв.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C2651" w:rsidRPr="00EA2CE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шест хиляди деветстотин петдесет и девет </w:t>
      </w:r>
      <w:r w:rsidR="005C2651" w:rsidRPr="00EA2CEB">
        <w:rPr>
          <w:rFonts w:ascii="Times New Roman" w:eastAsia="Times New Roman" w:hAnsi="Times New Roman"/>
          <w:sz w:val="24"/>
          <w:szCs w:val="24"/>
          <w:lang w:eastAsia="bg-BG"/>
        </w:rPr>
        <w:t>лева/</w:t>
      </w:r>
      <w:r w:rsidR="00182DF8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F136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F1365">
        <w:rPr>
          <w:rFonts w:ascii="Times New Roman" w:eastAsia="Times New Roman" w:hAnsi="Times New Roman"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ез включен ДДС.</w:t>
      </w:r>
    </w:p>
    <w:p w:rsidR="001B49BA" w:rsidRPr="00766AD7" w:rsidRDefault="001B49BA" w:rsidP="001B49B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lang w:val="en-US"/>
        </w:rPr>
      </w:pPr>
      <w:r w:rsidRPr="00607334">
        <w:rPr>
          <w:rFonts w:ascii="Times New Roman" w:eastAsia="Times New Roman" w:hAnsi="Times New Roman"/>
          <w:noProof/>
          <w:sz w:val="24"/>
          <w:szCs w:val="24"/>
          <w:lang w:eastAsia="bg-BG"/>
        </w:rPr>
        <w:t>III.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Съгласно чл.</w:t>
      </w:r>
      <w:r w:rsidR="005C265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52, ал.</w:t>
      </w:r>
      <w:r w:rsidR="005C265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5, т.</w:t>
      </w:r>
      <w:r w:rsidR="005C265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1 от Закона за местното самоуправление и местната администрация, 30</w:t>
      </w:r>
      <w:r w:rsidR="005C265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5C2651" w:rsidRP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C2651" w:rsidRPr="00AF69D6">
        <w:rPr>
          <w:rFonts w:ascii="Times New Roman" w:eastAsia="Times New Roman" w:hAnsi="Times New Roman"/>
          <w:sz w:val="24"/>
          <w:szCs w:val="24"/>
          <w:lang w:eastAsia="bg-BG"/>
        </w:rPr>
        <w:t>Полковник Минково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, общ.Добричка.</w:t>
      </w:r>
    </w:p>
    <w:p w:rsidR="001B49BA" w:rsidRDefault="001B49BA" w:rsidP="00855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07334">
        <w:rPr>
          <w:rFonts w:ascii="Times New Roman" w:eastAsia="Times New Roman" w:hAnsi="Times New Roman"/>
          <w:sz w:val="24"/>
          <w:szCs w:val="24"/>
        </w:rPr>
        <w:t>І</w:t>
      </w:r>
      <w:r w:rsidRPr="00607334">
        <w:rPr>
          <w:rFonts w:ascii="Times New Roman" w:eastAsia="Times New Roman" w:hAnsi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Възлага на Кмета на общината </w:t>
      </w:r>
      <w:proofErr w:type="spellStart"/>
      <w:r w:rsidR="00855696">
        <w:rPr>
          <w:rFonts w:ascii="Times New Roman" w:eastAsia="Times New Roman" w:hAnsi="Times New Roman"/>
          <w:sz w:val="24"/>
          <w:szCs w:val="24"/>
        </w:rPr>
        <w:t>последващите</w:t>
      </w:r>
      <w:proofErr w:type="spellEnd"/>
      <w:r w:rsidR="00855696">
        <w:rPr>
          <w:rFonts w:ascii="Times New Roman" w:eastAsia="Times New Roman" w:hAnsi="Times New Roman"/>
          <w:sz w:val="24"/>
          <w:szCs w:val="24"/>
        </w:rPr>
        <w:t xml:space="preserve"> законови действия.</w:t>
      </w:r>
    </w:p>
    <w:p w:rsidR="001B49BA" w:rsidRPr="00712C71" w:rsidRDefault="001B49BA" w:rsidP="001B49BA">
      <w:pPr>
        <w:spacing w:after="0" w:line="240" w:lineRule="auto"/>
        <w:ind w:left="360" w:firstLine="708"/>
        <w:jc w:val="both"/>
      </w:pP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Приложение към докладната записка:</w:t>
      </w:r>
    </w:p>
    <w:p w:rsidR="001B49BA" w:rsidRPr="005944E7" w:rsidRDefault="001B49BA" w:rsidP="001B49BA">
      <w:pPr>
        <w:numPr>
          <w:ilvl w:val="0"/>
          <w:numId w:val="1"/>
        </w:numPr>
        <w:spacing w:after="0" w:line="240" w:lineRule="auto"/>
        <w:jc w:val="both"/>
      </w:pPr>
      <w:r w:rsidRPr="005944E7">
        <w:rPr>
          <w:rFonts w:ascii="Times New Roman" w:eastAsia="Times New Roman" w:hAnsi="Times New Roman"/>
          <w:sz w:val="24"/>
          <w:szCs w:val="24"/>
          <w:lang w:eastAsia="bg-BG"/>
        </w:rPr>
        <w:t>Заявление с рег.</w:t>
      </w:r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 xml:space="preserve"> № ОС-101/01.04.2025г. от Иво Маринов </w:t>
      </w:r>
      <w:proofErr w:type="spellStart"/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Маринов</w:t>
      </w:r>
      <w:proofErr w:type="spellEnd"/>
      <w:r w:rsidR="005C2651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1B49BA" w:rsidRPr="005944E7" w:rsidRDefault="005C2651" w:rsidP="001B49BA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Договор за отстъпено право на строеж;</w:t>
      </w:r>
    </w:p>
    <w:p w:rsidR="001B49BA" w:rsidRDefault="005C2651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Разрешително за строеж № 23;</w:t>
      </w:r>
    </w:p>
    <w:p w:rsidR="005C2651" w:rsidRDefault="005C2651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Разрешително за строеж № 132;</w:t>
      </w:r>
    </w:p>
    <w:p w:rsidR="001B49BA" w:rsidRPr="00712C71" w:rsidRDefault="001B49BA" w:rsidP="001B49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Становище </w:t>
      </w:r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 xml:space="preserve">рег. № </w:t>
      </w:r>
      <w:proofErr w:type="spellStart"/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>Вхк</w:t>
      </w:r>
      <w:proofErr w:type="spellEnd"/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 xml:space="preserve"> - 2345</w:t>
      </w:r>
      <w:r w:rsidR="00A44ECA" w:rsidRPr="00712C71">
        <w:rPr>
          <w:rFonts w:ascii="Times New Roman" w:eastAsia="Times New Roman" w:hAnsi="Times New Roman"/>
          <w:sz w:val="24"/>
          <w:szCs w:val="24"/>
          <w:lang w:eastAsia="bg-BG"/>
        </w:rPr>
        <w:t>/0</w:t>
      </w:r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="00A44ECA" w:rsidRPr="00712C71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A44ECA" w:rsidRPr="00712C71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A44ECA" w:rsidRPr="00712C71">
        <w:rPr>
          <w:rFonts w:ascii="Times New Roman" w:eastAsia="Times New Roman" w:hAnsi="Times New Roman"/>
          <w:sz w:val="24"/>
          <w:szCs w:val="24"/>
          <w:lang w:eastAsia="bg-BG"/>
        </w:rPr>
        <w:t xml:space="preserve">г 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на кмет</w:t>
      </w:r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43773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>на с. Полк. Минково;</w:t>
      </w:r>
    </w:p>
    <w:p w:rsidR="001B49BA" w:rsidRDefault="001B49BA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44E7">
        <w:rPr>
          <w:rFonts w:ascii="Times New Roman" w:eastAsia="Times New Roman" w:hAnsi="Times New Roman"/>
          <w:sz w:val="24"/>
          <w:szCs w:val="24"/>
          <w:lang w:eastAsia="bg-BG"/>
        </w:rPr>
        <w:t xml:space="preserve">Акт за </w:t>
      </w:r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 xml:space="preserve">частна </w:t>
      </w:r>
      <w:r w:rsidRPr="005944E7">
        <w:rPr>
          <w:rFonts w:ascii="Times New Roman" w:eastAsia="Times New Roman" w:hAnsi="Times New Roman"/>
          <w:sz w:val="24"/>
          <w:szCs w:val="24"/>
          <w:lang w:eastAsia="bg-BG"/>
        </w:rPr>
        <w:t>общинска собственост</w:t>
      </w:r>
      <w:r w:rsidR="00A44ECA">
        <w:rPr>
          <w:rFonts w:ascii="Times New Roman" w:eastAsia="Times New Roman" w:hAnsi="Times New Roman"/>
          <w:sz w:val="24"/>
          <w:szCs w:val="24"/>
          <w:lang w:eastAsia="bg-BG"/>
        </w:rPr>
        <w:t>;</w:t>
      </w:r>
      <w:r w:rsidRPr="005944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1B49BA" w:rsidRDefault="00CF0205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Скица за имота;</w:t>
      </w:r>
    </w:p>
    <w:p w:rsidR="001B49BA" w:rsidRDefault="001B49BA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Пазарна оценка.</w:t>
      </w:r>
    </w:p>
    <w:p w:rsidR="00CF0205" w:rsidRDefault="00CF0205" w:rsidP="001B4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ВНОСИТЕЛ:</w:t>
      </w: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СОНЯ ГЕОРГИЕВА</w:t>
      </w:r>
    </w:p>
    <w:p w:rsidR="001B49BA" w:rsidRPr="00CF0205" w:rsidRDefault="001B49BA" w:rsidP="001B49BA">
      <w:pPr>
        <w:spacing w:after="0" w:line="360" w:lineRule="auto"/>
        <w:jc w:val="both"/>
      </w:pPr>
      <w:r w:rsidRPr="00CF0205">
        <w:rPr>
          <w:rFonts w:ascii="Times New Roman" w:eastAsia="Times New Roman" w:hAnsi="Times New Roman"/>
          <w:i/>
          <w:lang w:eastAsia="bg-BG"/>
        </w:rPr>
        <w:t>Кмет на община Добричка</w:t>
      </w:r>
    </w:p>
    <w:p w:rsidR="008D1A17" w:rsidRPr="00AF69D6" w:rsidRDefault="008D1A17" w:rsidP="001B49BA">
      <w:pPr>
        <w:spacing w:after="0" w:line="240" w:lineRule="auto"/>
        <w:jc w:val="both"/>
        <w:rPr>
          <w:rFonts w:ascii="Times New Roman" w:eastAsia="Times New Roman" w:hAnsi="Times New Roman"/>
          <w:b/>
          <w:lang w:val="ru-RU" w:eastAsia="bg-BG"/>
        </w:rPr>
      </w:pP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b/>
          <w:color w:val="FFFFFF" w:themeColor="background1"/>
          <w:sz w:val="18"/>
          <w:szCs w:val="18"/>
          <w:lang w:eastAsia="bg-BG"/>
        </w:rPr>
      </w:pPr>
      <w:bookmarkStart w:id="0" w:name="_GoBack"/>
      <w:r w:rsidRPr="00E41BB6">
        <w:rPr>
          <w:rFonts w:ascii="Times New Roman" w:eastAsia="Times New Roman" w:hAnsi="Times New Roman"/>
          <w:b/>
          <w:color w:val="FFFFFF" w:themeColor="background1"/>
          <w:sz w:val="18"/>
          <w:szCs w:val="18"/>
          <w:lang w:eastAsia="bg-BG"/>
        </w:rPr>
        <w:t>Съгласували:</w:t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Иван Пейчев</w:t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>Зам.- кмет УТСОСПООС</w:t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Дата:</w:t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 xml:space="preserve">Арх. Даниела Георгиева    </w:t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="003A2560"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proofErr w:type="spellStart"/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Адв</w:t>
      </w:r>
      <w:proofErr w:type="spellEnd"/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. ……………………..</w:t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 xml:space="preserve">Гл. архитект                                                           </w:t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  <w:t xml:space="preserve">    </w:t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  <w:t>Юрист при Общината</w:t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>ИД Директор дирекция УТСОСПООС</w:t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  <w:t xml:space="preserve">    </w:t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Дата:</w:t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Дата:</w:t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b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b/>
          <w:color w:val="FFFFFF" w:themeColor="background1"/>
          <w:sz w:val="18"/>
          <w:szCs w:val="18"/>
          <w:lang w:eastAsia="bg-BG"/>
        </w:rPr>
        <w:t>Изготвил:</w:t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Мария Димитрова</w:t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="003A2560"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Дияна Стоянова</w:t>
      </w:r>
    </w:p>
    <w:p w:rsidR="008D1A17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</w:pP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>Началник отдел ОСЕ</w:t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  <w:t>Мл. експерт ОС</w:t>
      </w:r>
      <w:r w:rsidRPr="00E41BB6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</w:p>
    <w:p w:rsidR="001B49BA" w:rsidRPr="00E41BB6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0"/>
          <w:szCs w:val="20"/>
          <w:lang w:eastAsia="bg-BG"/>
        </w:rPr>
      </w:pP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 xml:space="preserve">Дата: </w:t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proofErr w:type="spellStart"/>
      <w:r w:rsidRPr="00E41BB6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Дата</w:t>
      </w:r>
      <w:proofErr w:type="spellEnd"/>
      <w:r w:rsidRPr="00E41BB6">
        <w:rPr>
          <w:rFonts w:ascii="Times New Roman" w:eastAsia="Times New Roman" w:hAnsi="Times New Roman"/>
          <w:color w:val="FFFFFF" w:themeColor="background1"/>
          <w:sz w:val="20"/>
          <w:szCs w:val="20"/>
          <w:lang w:eastAsia="bg-BG"/>
        </w:rPr>
        <w:t>:</w:t>
      </w:r>
      <w:bookmarkEnd w:id="0"/>
    </w:p>
    <w:sectPr w:rsidR="001B49BA" w:rsidRPr="00E41BB6" w:rsidSect="003A2560"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B3212"/>
    <w:multiLevelType w:val="multilevel"/>
    <w:tmpl w:val="3858E15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BA"/>
    <w:rsid w:val="000A0C63"/>
    <w:rsid w:val="00182DF8"/>
    <w:rsid w:val="001B49BA"/>
    <w:rsid w:val="00284B5B"/>
    <w:rsid w:val="00342BCA"/>
    <w:rsid w:val="0034663B"/>
    <w:rsid w:val="003A2560"/>
    <w:rsid w:val="00420BFD"/>
    <w:rsid w:val="00437733"/>
    <w:rsid w:val="005246BA"/>
    <w:rsid w:val="00584B55"/>
    <w:rsid w:val="005C2651"/>
    <w:rsid w:val="00607334"/>
    <w:rsid w:val="00630688"/>
    <w:rsid w:val="00855696"/>
    <w:rsid w:val="008D1A17"/>
    <w:rsid w:val="00A44ECA"/>
    <w:rsid w:val="00AB1435"/>
    <w:rsid w:val="00AF69D6"/>
    <w:rsid w:val="00BE3C9C"/>
    <w:rsid w:val="00C83B9A"/>
    <w:rsid w:val="00CF0205"/>
    <w:rsid w:val="00CF5965"/>
    <w:rsid w:val="00DB7BA9"/>
    <w:rsid w:val="00E41BB6"/>
    <w:rsid w:val="00EE7E3F"/>
    <w:rsid w:val="00F1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9B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246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9B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246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Дияна Стоянова</cp:lastModifiedBy>
  <cp:revision>16</cp:revision>
  <cp:lastPrinted>2025-05-12T06:07:00Z</cp:lastPrinted>
  <dcterms:created xsi:type="dcterms:W3CDTF">2024-07-08T11:17:00Z</dcterms:created>
  <dcterms:modified xsi:type="dcterms:W3CDTF">2025-05-12T06:07:00Z</dcterms:modified>
</cp:coreProperties>
</file>